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Н-1 от 14.02.2023 г. за вписването, квалификацията и възнагражденията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Издадена от министъра на правосъдието, </w:t>
      </w:r>
      <w:proofErr w:type="spellStart"/>
      <w:r>
        <w:rPr>
          <w:rFonts w:ascii="Times New Roman" w:hAnsi="Times New Roman"/>
          <w:sz w:val="24"/>
          <w:szCs w:val="24"/>
          <w:lang w:val="x-none"/>
        </w:rPr>
        <w:t>oбн</w:t>
      </w:r>
      <w:proofErr w:type="spellEnd"/>
      <w:r>
        <w:rPr>
          <w:rFonts w:ascii="Times New Roman" w:hAnsi="Times New Roman"/>
          <w:sz w:val="24"/>
          <w:szCs w:val="24"/>
          <w:lang w:val="x-none"/>
        </w:rPr>
        <w:t>., ДВ, бр. 18 от 24.02.2023 г., изм. и доп., бр. 103 от 6.12.2024 г., в сила от 6.12.2024 г.</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697BC3" w:rsidRDefault="00697BC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ОБЩИ ПОЛОЖЕНИЯ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(1) С тази наредба се уреждат: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редът и сроковете за предложения за включване и промени на списъците на специалистите, утвърдени за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на които трябва да отговарят специалистите, утвърдени за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определяне възнагражденията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правото на достъп до Информационната система "Единен регистър на вещите лица" и данните, които се въвеждат в нея.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Наредбата се прилага за специалисти, утвърдени за вещи лица, назначени от органите на съдебната власт, органите на досъдебното производство, както и тези по изпълнителни дела.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Наредбата се прилага и за специалисти, назначени от органите на съдебната власт, органите на досъдебното производство, както и тези по изпълнителни дела, които не са включени в съответния списък, с изключение на глави втора, трета и шеста.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Дейността на вещите лица при извършване на съдебни експертизи се основава на следните принципи: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законност;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процесуална и познавателна независимост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научна обоснованост на средствата и методите, използвани при експертното изследване;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добросъвестност, обективност, всестранност и пълнота на експертното изследване;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поверителност и спазване на професионалната етика.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Експертната дейност включва: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организацията на процесуалната и познавателната дейност на субектите на съдебната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научните изследвания в областта на съдебните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научно-методическото обезпечаване на съдебната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професионалната подготовка и повишаването на квалификацията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Съдебните експертизи по класове и видове са определени в приложение № 1.</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(1) Съобразно процесуалната си организация съдебните експертизи са: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еднолични и колективни;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еднородни и комплексни;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първоначални, допълнителни и повторни.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Експертизите са колективни, когато за извършването им е необходимо участието на две или повече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Експертизите са еднородни, когато за решаването на задачите им се използват </w:t>
      </w:r>
      <w:r>
        <w:rPr>
          <w:rFonts w:ascii="Times New Roman" w:hAnsi="Times New Roman"/>
          <w:sz w:val="24"/>
          <w:szCs w:val="24"/>
          <w:lang w:val="x-none"/>
        </w:rPr>
        <w:lastRenderedPageBreak/>
        <w:t>знания от една научна област. Експертизите са комплексни, когато за решаването на задачите им се използват знания от различни научни области.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(1) Вещото лице има свободен достъп и може да прави справки по делото, по което е назначено, включително по електронното досие, да получава копия от книжа и сведения с предимство в съда, прокуратурата, органите на досъдебното производство, административните органи и други служби и навсякъде, където е необходимо, като се легитимира с удостоверение, издадено от органа, назначил експертизата. Вещото лице не дължи такси за издаваните съдебни удостоверения във връзка с поставената задача.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Съдът, прокуратурата, органите на досъдебното производство, административните органи и други служби в страната са длъжни да оказват съдействие на вещите лица съобразно поставената задача.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Всички държавни органи, юридически лица и граждани, при които се намират материали, необходими за експертизата, са длъжни да осигурят достъп на вещото лице до тях съобразно достъпа до съответното ниво на класифицирана информация, което то притежава, както и да оказват необходимото съдействие за изпълнение на задачите на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за извършване на експертиза е определено вещо лице, което е служител на Министерството на вътрешните работи (МВР), органът, назначил експертизата, изпраща всички материали, необходими за извършване на експертизата, в съответната структура на МВР.</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697BC3" w:rsidRDefault="00697BC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УСЛОВИЯ, НА КОИТО ТРЯБВА ДА ОТГОВАРЯТ СПЕЦИАЛИСТИТЕ, УТВЪРДЕНИ ЗА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(1) За вещо лице може да бъде утвърдено дееспособно лице, което отговаря на едно от следните изисквания: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заема академична длъжност - "доцент" или "професор", във висши училища, научни организации или Българската академия на науките;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има висше образование с придобита образователно-квалификационна степен "магистър" и има най-малко 5 години стаж по специалността;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има висше образование с придобита образователно-квалификационна степен "бакалавър" и има най-малко 7 години стаж по специалността;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има средно образование и най-малко 10 години стаж по специалността;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е служител на МВР и има завършено специално обучение в Академията на МВР или Националния институт по криминалистика на МВР;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e лекар с призната специалност по съдебна медицина, лекар без такава специалност, който работи в структура на лечебното заведение, осъществяващо дейност по съдебна медицина, лекар с друга медицинска специалност или лекар по </w:t>
      </w:r>
      <w:proofErr w:type="spellStart"/>
      <w:r>
        <w:rPr>
          <w:rFonts w:ascii="Times New Roman" w:hAnsi="Times New Roman"/>
          <w:sz w:val="24"/>
          <w:szCs w:val="24"/>
          <w:lang w:val="x-none"/>
        </w:rPr>
        <w:t>дентална</w:t>
      </w:r>
      <w:proofErr w:type="spellEnd"/>
      <w:r>
        <w:rPr>
          <w:rFonts w:ascii="Times New Roman" w:hAnsi="Times New Roman"/>
          <w:sz w:val="24"/>
          <w:szCs w:val="24"/>
          <w:lang w:val="x-none"/>
        </w:rPr>
        <w:t xml:space="preserve"> медицина.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по ал. 1 трябва да отговаря и на следните условия: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не е осъждано за престъпление от общ характер;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не е лишено от право да упражнява професия или дейност;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осъществява функции по правораздаване в системата на съдебната власт;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има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w:t>
      </w:r>
      <w:r>
        <w:rPr>
          <w:rFonts w:ascii="Times New Roman" w:hAnsi="Times New Roman"/>
          <w:sz w:val="24"/>
          <w:szCs w:val="24"/>
          <w:lang w:val="x-none"/>
        </w:rPr>
        <w:lastRenderedPageBreak/>
        <w:t>Швейцария;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е вписано в съответния регистър на лицата, притежаващи определена професия, правоспособност или квалификация, когато такова вписване се изисква по закон;</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притежава диплома, свидетелство, удостоверение, сертификат, лиценз или друг документ, издаден от висше училище, професионална организация или </w:t>
      </w:r>
      <w:proofErr w:type="spellStart"/>
      <w:r>
        <w:rPr>
          <w:rFonts w:ascii="Times New Roman" w:hAnsi="Times New Roman"/>
          <w:sz w:val="24"/>
          <w:szCs w:val="24"/>
          <w:lang w:val="x-none"/>
        </w:rPr>
        <w:t>учреждение</w:t>
      </w:r>
      <w:proofErr w:type="spellEnd"/>
      <w:r>
        <w:rPr>
          <w:rFonts w:ascii="Times New Roman" w:hAnsi="Times New Roman"/>
          <w:sz w:val="24"/>
          <w:szCs w:val="24"/>
          <w:lang w:val="x-none"/>
        </w:rPr>
        <w:t xml:space="preserve"> по силата на закон, с който документ се удостоверява наличието на съответната квалификация или правоспособност.</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697BC3" w:rsidRDefault="00697BC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РЕД И СРОКОВЕ ЗА ПРЕДЛОЖЕНИЯ ЗА ВКЛЮЧВАНЕ И ПРОМЕНИ НА СПИСЪЦИТЕ НА СПЕЦИАЛИСТИТЕ, УТВЪРДЕНИ ЗА ВЕЩИ ЛИЦА. РЕД ЗА ОТПИСВАНЕ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За всеки съдебен район на окръжен и административен съд се съставят списъци на специалистите, утвърдени за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Върховният касационен съд, Върховният административен съд, Върховната прокуратура и Националната следствена служба при необходимост утвърждават отделни списъци за нуждите на своята дейност.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(1) Предложения за включване на специалисти в списъците на вещи лица се правят от ръководителите на държавни органи и на техни структури, на органи на местно самоуправление, на научни институти, на съсловни и други организации.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Предложение за включване могат да правят лично и кандидатите за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Предложенията за включване в списъците по чл. 8, ал. 1 се правят до председателя на съответния окръжен или административен съд.</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Предложенията за включване в списъците по чл. 8, ал. 2 се правят до всеки административен ръководител на съответния орган на съдебната власт.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w:t>
      </w:r>
      <w:proofErr w:type="spellStart"/>
      <w:r>
        <w:rPr>
          <w:rFonts w:ascii="Times New Roman" w:hAnsi="Times New Roman"/>
          <w:sz w:val="24"/>
          <w:szCs w:val="24"/>
          <w:lang w:val="x-none"/>
        </w:rPr>
        <w:t>Правоимащите</w:t>
      </w:r>
      <w:proofErr w:type="spellEnd"/>
      <w:r>
        <w:rPr>
          <w:rFonts w:ascii="Times New Roman" w:hAnsi="Times New Roman"/>
          <w:sz w:val="24"/>
          <w:szCs w:val="24"/>
          <w:lang w:val="x-none"/>
        </w:rPr>
        <w:t xml:space="preserve"> по ал. 1, преди да направят предложение, обсъждат качествата на кандидатите съобразно основните принципи по чл. 2 и изискванията по чл. 7 след събеседване с кандидата.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Предложение се прави при наличие на писмено съгласие от специалиста.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Кандидатите за включване в списъка на вещите лица подават пред органа по чл. 9, ал. 3 и 4 заявление по образец съгласно приложение № 2 на хартиен и електронен носител или по електронен път, придружено от следните документи: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заверено копие от диплома за завършено висше образование с придобита преди 1 януари 2012 г. образователно-квалификационна степен "магистър", "бакалавър" или диплома за завършено преди 1 януари 2007 г. средно образование;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кандидати, които са служители на МВР - документи за завършено специално обучение в Академията на МВР или в Националния институт по криминалистика на МВР;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документи, удостоверяващи стажа по специалността: заверено копие на трудова или служебна книжка, а за лицата със </w:t>
      </w:r>
      <w:r>
        <w:rPr>
          <w:rFonts w:ascii="Times New Roman" w:hAnsi="Times New Roman"/>
          <w:sz w:val="24"/>
          <w:szCs w:val="24"/>
          <w:lang w:val="x-none"/>
        </w:rPr>
        <w:lastRenderedPageBreak/>
        <w:t>свободни професии се посочва код по БУЛСТАТ;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декларация, че лицето не е поставено под запрещение;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декларация, удостоверяваща съответствието с изискванията по чл. 7, ал. 2, т. 2 и 3;</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(доп.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удостоверение за достъп до класифицирана информация, ако има такова;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заверено копие от сертификат, свидетелство, удостоверение, лиценз или друг документ, издаден от висше училище, професионална организация или </w:t>
      </w:r>
      <w:proofErr w:type="spellStart"/>
      <w:r>
        <w:rPr>
          <w:rFonts w:ascii="Times New Roman" w:hAnsi="Times New Roman"/>
          <w:sz w:val="24"/>
          <w:szCs w:val="24"/>
          <w:lang w:val="x-none"/>
        </w:rPr>
        <w:t>учреждение</w:t>
      </w:r>
      <w:proofErr w:type="spellEnd"/>
      <w:r>
        <w:rPr>
          <w:rFonts w:ascii="Times New Roman" w:hAnsi="Times New Roman"/>
          <w:sz w:val="24"/>
          <w:szCs w:val="24"/>
          <w:lang w:val="x-none"/>
        </w:rPr>
        <w:t xml:space="preserve"> по силата на закон, с който документ се удостоверява наличието на съответната квалификация или правоспособност;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свидетелство за съдимост, ако кандидатът не е български гражданин.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(Доп.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От кандидатите, завършили висши учебни заведения в чужбина, може да се поиска да представят удостоверение за признаване на висше образование, придобито до месец април 2009 г., при условие че придобитата от тях диплома се признава от Република България и е легализирана.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Органът по чл. 9, ал. 3 и 4 установява служебно обстоятелствата относно: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съдебния статус на кандидатите – български граждани;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заемането на академичната длъжност;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придобита след 1 януари 2012 г. образователно-квалификационна степен "магистър", "бакалавър";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висше образование, придобито във висши учебни заведения в чужбина след месец април 2009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В предложенията се вписват име: собствено, бащино и фамилно на специалиста, адрес, електронна поща и телефон за връзка, данни за неговото образование, специалност, както и за неговата месторабота и за заеманата длъжност (ако има такива), продължителността на трудовия му стаж, стажът му като вещо лице и допълнителната квалификация.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Обстоятелствата по ал. 1 се удостоверяват със съответните документи, които се прилагат към предложението.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(1) Списъците по чл. 8, ал. 1 се утвърждават от комисия в състав: председателят на апелативния съд или определен от него съдия, апелативният прокурор или определен от него прокурор, председателят на окръжния съд, окръжният прокурор и председателят на административния съд.</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Списъците по чл. 8, ал. 2 се утвърждават от комисия в състав: председателят на Върховния касационен съд, председателят на Върховния административен съд, главният прокурор.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Членовете на комисията трябва да изпълняват своята дейност безпристрастно.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Комисията разглежда постъпилите заявления и предложения заедно с приложените документи и преценява съответствието им с изискванията на наредбата.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Когато заявлението или </w:t>
      </w:r>
      <w:r>
        <w:rPr>
          <w:rFonts w:ascii="Times New Roman" w:hAnsi="Times New Roman"/>
          <w:sz w:val="24"/>
          <w:szCs w:val="24"/>
          <w:lang w:val="x-none"/>
        </w:rPr>
        <w:lastRenderedPageBreak/>
        <w:t xml:space="preserve">приложенията към него не съответстват на изискванията по чл. 10, ал. 1, кандидатът се уведомява по предоставената от него електронна поща за </w:t>
      </w:r>
      <w:proofErr w:type="spellStart"/>
      <w:r>
        <w:rPr>
          <w:rFonts w:ascii="Times New Roman" w:hAnsi="Times New Roman"/>
          <w:sz w:val="24"/>
          <w:szCs w:val="24"/>
          <w:lang w:val="x-none"/>
        </w:rPr>
        <w:t>нередовностите</w:t>
      </w:r>
      <w:proofErr w:type="spellEnd"/>
      <w:r>
        <w:rPr>
          <w:rFonts w:ascii="Times New Roman" w:hAnsi="Times New Roman"/>
          <w:sz w:val="24"/>
          <w:szCs w:val="24"/>
          <w:lang w:val="x-none"/>
        </w:rPr>
        <w:t xml:space="preserve">, като се дава 7-дневен срок за отстраняването им. В случай че кандидатът не е посочил електронна поща, той се уведомява за </w:t>
      </w:r>
      <w:proofErr w:type="spellStart"/>
      <w:r>
        <w:rPr>
          <w:rFonts w:ascii="Times New Roman" w:hAnsi="Times New Roman"/>
          <w:sz w:val="24"/>
          <w:szCs w:val="24"/>
          <w:lang w:val="x-none"/>
        </w:rPr>
        <w:t>нередовностите</w:t>
      </w:r>
      <w:proofErr w:type="spellEnd"/>
      <w:r>
        <w:rPr>
          <w:rFonts w:ascii="Times New Roman" w:hAnsi="Times New Roman"/>
          <w:sz w:val="24"/>
          <w:szCs w:val="24"/>
          <w:lang w:val="x-none"/>
        </w:rPr>
        <w:t xml:space="preserve"> чрез интернет страницата на съответния орган на съдебната власт.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В случай на отказ за включване в списъка кандидатът се уведомява по предоставената от него електронна поща. Когато кандидатът не е посочил електронна поща, той се уведомява чрез интернет страницата на съответния орган на съдебната власт.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(Предишна ал. 5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Утвърдените списъци се изпращат на министъра на правосъдието за обнародване в "Държавен вестник" и за публикуване в интернет.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(1) На вписаните и утвърдени в списъците вещи лица органите по чл. 9, ал. 3 и 4 издават "карта за вещо лице" по образец, утвърден с решение на Висшия съдебен съвет.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В картата се вписват име: собствено, бащино и фамилно на вещото лице и идентификационен номер.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Идентификационният номер на вещото лице се генерира автоматично от специализиран софтуер за мониторинг и контрол на дейността на вещите лица от поредния номер на вписването при първото въвеждане на данните за това вещо лице по утвърден от съответен съдебен орган списък.</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(1) Предложения за изменение и допълнение на утвърдените списъци на вещи лица се правят до края на септември на съответната календарна година.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Органите по чл. 9, ал. 3 и 4 извършват служебна проверка в Националната база данни "Население" за настъпили събития по чл. 16, ал. 1, т. 3 при условията и по реда на чл. 7 във връзка с чл. 3 от Наредба № 14 от 2009 г. за реда и начина за предоставяне достъп на органите на съдебната власт до Регистъра на населението – Национална база данни "Население" (ДВ, бр. 94 от 2009 г.). Постъпилите предложения по ал. 1 и информацията относно извършената проверка се изпращат на комисиите по чл. 12, ал. 1 и 2.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(Предишна ал. 2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До края на октомври комисиите по чл. 12, ал. 1 и 2 актуализират списъците.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До 15 ноември списъците се изпращат на министъра на правосъдието за обнародване в "Държавен вестник" и за публикуване в интернет.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Промени в списъците може да се правят и през текущата година.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Когато настъпят промени в данните за вещото лице, включено в списък на вещи лица, то е длъжно да уведоми комисиите по чл. 12, ал. 1 и 2 в 7-дневен срок от настъпването им.</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Предложения за отписване на специалисти от списъците на вещите лица могат да правят лицата по чл. 9, ал. 1 и административните ръководители на съответните органи на съдебната власт.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получаване на информация за настъпване на обстоятелството по чл. 7, ал. 2, т. 3 административните ръководители на съответните органи на съдебната власт правят предложение до комисиите по чл. 12, ал. 1 и 2 за отписване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(1) Специалист, включен в списъка на вещите лица, може да бъде отписан:</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по негово искане;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настъпят обстоятелства, изключващи съответствието с чл. 7, ал. 2, т. 1, 2 и 3;</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при смърт;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при поставянето му под запрещение или при трайна невъзможност да изпълнява задълженията си на вещо лице по конкретни задачи повече от една година;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нарушение на принципите по чл. 2 или неспазването на етичните правила за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многократно безпричинно отказва да му бъде възложена работа;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при многократно освобождаване на вещото лице от възложената задача поради несвоевременно изготвяне на заключението или забавянето му или при системно неспазване на определените от органа, възложил експертизата, срокове без уважителни причини в рамките на две години.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Органът, възложил експертизата, или всяко заинтересовано лице уведомява комисиите по чл. 12, ал. 1 и 2 за възникването на някое от основанията по ал. 1.</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В случаите по ал. 2, както и при постъпило предложение за отписване на вещо лице, комисията извършва проверка, като може да изиска допълнително представяне на документи и информация, включително и на писмени обяснения от вещото лице. Комисията се произнася в едномесечен срок, като преди произнасяне изслушва лично засегнатото вещо лице или приема писмените му обяснения.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(Предишна ал. 2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Отписването се извършва с решение на комисиите по чл. 12, ал. 1 и 2 при наличие на някое или на няколко от основанията по ал. 1.</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доп.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Решението на комисията за отписване на вещо лице от списъците се обнародва в "Държавен вестник" и се публикува в интернет като се отразява и в съответния списък.</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4,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След отписване на вещото лице то е длъжно да върне служебната си карта на органите по чл. 9, ал. 3 и 4, което се отбелязва в съответния регистър.</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697BC3" w:rsidRDefault="00697BC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УСЛОВИЯ И РЕД ЗА ОПРЕДЕЛЯНЕ И ИЗПЛАЩАНЕ НА ВЪЗНАГРАЖДЕНИЯТА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Условията и редът за определяне възнагражденията на вещите лица се прилагат за експертизи, назначени по наказателни, граждански, административни и изпълнителни производства.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Вещото лице има право на възнаграждение за извършената експертиза, както и направените разходи за използваните материали, консумативи, пособия, технически средства, машинно и компютърно време и други необходими разходи.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На вещото лице, включително и когато е служител на МВР или служител на Прокуратурата на Република България (ПРБ), назначен на експертна длъжност, се заплащат разходите за пътни, дневни и квартирни, необходими за изготвяне на възложената експертиза, от органа, назначил експертизата, съгласно размерите, предвидени в Наредбата за командировките в страната, приета с Постановление № 72 на Министерския съвет от 1986 </w:t>
      </w:r>
      <w:r>
        <w:rPr>
          <w:rFonts w:ascii="Times New Roman" w:hAnsi="Times New Roman"/>
          <w:sz w:val="24"/>
          <w:szCs w:val="24"/>
          <w:lang w:val="x-none"/>
        </w:rPr>
        <w:lastRenderedPageBreak/>
        <w:t>г. (ДВ, бр. 11 от 1987 г.), и Наредбата за служебните командировки и специализации в чужбина, приета с Постановление № 115 на Министерския съвет от 2004 г. (ДВ, бр. 50 от 2004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Пътни, дневни и квартирни пари се заплащат за всяко явяване на вещото лице пред органа, назначил експертизата, или пред органа, който го е призовал в едномесечен срок, считано от разпореждането на органа за изплащането им.</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Разходите за пътни, дневни и квартирни, необходими за изготвяне на възложената експертиза, могат да бъдат изплатени на вещото лице и авансово с писмено разпореждане на органа, назначил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1.01.2025 г.) При явяване на вещо лице и отлагане на делото по независещи от него причини на същото освен разходите се заплаща и възнаграждение в размер не по-малко от 40 лв.</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а относно замяната на числото "20" с "40", в сила от 1.01.2025 г.) При явяване на вещото лице пред съда за изслушване по изготвена в досъдебната фаза на наказателния процес експертиза освен посочените в чл. 19, ал. 2 разноски се заплаща възнаграждение не по-малко от 40 лв.</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(1) Когато за извършването на експертиза е определено вещо лице, което е служител на МВР, органите, назначили експертизата, заплащат на министерството направените разходи за труд, консумативи и режийните разноски.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Определените възнаграждения по чл. 20, ал. 1 и 2 в случаите, когато вещото лице е служител на МВР, се заплащат на министерството.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(Предишен текст на чл. 22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Когато за извършването на експертиза е определено вещо лице, което е служител на ПРБ, назначен на експертна длъжност, органите, назначили експертизата, заплащат на прокуратурата направените разходи за труд, консумативи и режийните разноски.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Определените възнаграждения по чл. 20, ал. 1 и 2 в случаите, когато вещото лице е служител на ПРБ, назначен на експертна длъжност, се заплащат на прокуратурата.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(1) При определяне на възнагражденията органът, възложил експертизата, съобразява и преценява: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сложността и спецификата на поставените задачи;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компетентността и степента на квалификация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времето, необходимо за извършване на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обема на извършената работа;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необходимите разходи за извършването на експертизата, като употреба на материали, консумативи, използвани пособия, съоръжения и други;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други условия, оказващи влияние върху заплащането за извършената работа, в т. ч. срочност на изпълнението, работа в почивни дни и национални празници.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Обстоятелствата по ал. 1 се установяват от органа, назначил експертизата, въз основа на справка-декларация от вещото лице съгласно приложение № 3. При съобразяване и преценка на обстоятелствата по ал. 1 справката-декларация не обвързва органа, назначил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извършване на експертиза от вещо лице, което е служител на МВР, разходите за труд, консумативи и режийни разноски се установяват със сметка по образец, утвърден със заповед на министъра на вътрешните работи.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експертизата е изготвена от повече от едно вещо лице, възнаграждението по </w:t>
      </w:r>
      <w:r>
        <w:rPr>
          <w:rFonts w:ascii="Times New Roman" w:hAnsi="Times New Roman"/>
          <w:sz w:val="24"/>
          <w:szCs w:val="24"/>
          <w:lang w:val="x-none"/>
        </w:rPr>
        <w:lastRenderedPageBreak/>
        <w:t>ал. 1 се заплаща на всяко едно от тях.</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Ако вещото лице не представи документи за разходите, те се заплащат по преценка на органа, назначил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1.01.2025 г.) За всеки действително отработен час се заплаща възнаграждение в размер 3,5 % от установената минимална работна заплата за страната към датата на възлагане на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Броят на действително отработените часове се установява от справка-декларация съгласно приложение № 3 или от сметката по чл. 23, ал. 3.</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(1) За особено сложни и специфични експертизи, извършени от висококвалифицирани вещи лица, възнаграждението може да бъде увеличено до 100 %.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се налага експертизата да бъде извършена в почивни дни или през дните на официални празници, това се посочва в акта за възлагане на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експертизи, извършени в почивни дни, възнаграждението може да бъде увеличено от 75 % до 150 %, а през дните на официални празници - от 100 % до 200 %.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(1) Изготвената експертиза се представя заедно със справка-декларация, към която се прилагат документи за извършените разходи, или със сметката по чл. 23, ал. 3.</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се признават за разходи, освен за случаите по чл. 23, ал. 1, т. 6 - по преценка на органа, който я е назначил:</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разходи за билет за самолет, освен когато командировката е в чужбина;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 разходи без представяне на билет или друг документ, удостоверяващ извършения разход;</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1.01.2025 г.) разходи за една нощувка над 150 лв.</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прецени, че са налице основания да увеличи първоначално определеното възнаграждение, органът, възложил експертизата, определя окончателно възнаграждение.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Ако вещото лице не представи справка-декларация или ако органът, възложил експертизата, прецени, че няма основание да увеличи възнаграждението, то остава в първоначално определения му размер.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(1)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Възнаграждението и разходите на вещото лице по чл. 18 се изплащат въз основа на писмено разпореждане на органа, който го е назначил. Сумите се изплащат по банков път в срок до 30 дни от приемането на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Сумите се изплащат от депозит или от бюджета на органа, назначил експертизата. Плащането на сумите се извършва след представяне от вещото лице на документ, съдържащ реквизитите по чл. 7 от Закона за счетоводството.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органът, възложил експертизата, откаже да приеме заключението на вещото лице по причини, за които вещото лице отговаря, определеното възнаграждение не му се изплаща. Отказът се мотивира.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наличие на основание по чл. 23, ал. 1 органът, назначил експертизата, може да промени размера на възнаграждението на вещото лице. За извършените корекции се посочват мотиви.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(1) Когато експертизата е назначена по искане на страни, които не са освободени от заплащане на разноски, възнаграждението се определя предварително с първоначален депозит, който се внася по сметката на органа, назначил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дела, по които страните са освободени от разноски, се определя първоначално възнаграждение по чл. 24, ал. 1.</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Първоначално възнаграждение в минималния му размер може да се определи и в случаите по ал. 1 по преценка на органа, възложил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Възнаграждение се определя и за устно допълнение към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когато след назначаването на експертиза досъдебното производство е възложено на друг разследващ орган, възнаграждението и разходите на вещото лице се определят от органа, приел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Ако прецени, че са налице основания за намаляване на първоначално определеното възнаграждение, органът, възложил експертизата, определя окончателно възнаграждение. За намалението на възнаграждението се посочват мотиви.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Пътните, дневните и квартирните пари, свързани с изготвяне на експертизата, се заплащат от внесения депозит, съответно от сумите по бюджета.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(1) Вещото лице започва дейността по извършване на експертизата, след като е внесен депозит за заплащане на труда му.</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Възнаграждението на вещото лице не може да се определя под условие или да се обвързва с изхода от решаването на делото.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Висшият съдебен съвет осъществява контрол за изразходваните средства от органите на съдебната власт за изплащане на възнаграждения и необходимите разходи на вещите лица.</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697BC3" w:rsidRDefault="00697BC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ЕТИЧНИ ПРАВИЛА ЗА ПОВЕДЕНИЕ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(1) Вещото лице няма право да разпространява информацията за обстоятелствата, фактите и документите, които са му станали известни в хода на съдебната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прекратяване на функциите си вещото лице не е освободено от задължението си да пази тайна, свързана с дейността му като вещо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Вещото лице е длъжно да извърши експертизата добросъвестно съобразно поставените му задачи, като използва съвременните постижения в съответната научна област.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(1) Вещото лице не може да приема каквито и да са подаръци, услуги, ангажиране по други дела, ангажиране за работа, услуги или консултации от страна по делото или нейни представители до приключване на делото.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всяка експертиза вещото лице представя декларация, че не е в конфликт на интереси във връзка с изготвянето й.</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Вещото лице популяризира дейността си по начин и със средства, които дават вярна представа за неговата компетентност и възможностите на съответния вид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Вещото лице може да депозира писмен мотивиран отказ за изготвяне на експертизата в 7-дневен срок от получаване на съобщението за конкретните задачи.</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697BC3" w:rsidRDefault="00697BC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ИНФОРМАЦИОННА СИСТЕМА "ЕДИНЕН РЕГИСТЪР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(1) Министерството на правосъдието поддържа Информационна система "Единен регистър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Информационната система "Единен регистър на вещите лица" съдържа данни за вещите лица от утвърдените списъци по чл. 398, ал. 1 и 2 от Закона за съдебната власт и се състои от публична и непублична част.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Публичната част на Информационната система съдържа следните данни за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име: собствено, бащино и фамилно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научна степен или академична длъжност на вещото лице, ако е налице такава;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специалност/специални знания на вещото лице в съответната област на науката, изкуството, техниката и др.;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съдебен район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образование и компетенции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Непубличната част на Информационната система съдържа следните поверителни данни за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единен граждански номер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номер на карта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адрес, телефон, електронна поща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допълнителни данни за образованието на вещото лице;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допълнителна информация за вещото лице, включително за дейността на вещото лице по изготвяне на експертни заключения.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Данните се въвеждат в регистъра по разпореждане на съответните административни ръководители в органите на съдебната власт незабавно след утвърждаването на списъците.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Достъпът до данните по ал. 3 се предоставя и чрез информационната система за обмен на удостоверителна и справочна информация </w:t>
      </w:r>
      <w:proofErr w:type="spellStart"/>
      <w:r>
        <w:rPr>
          <w:rFonts w:ascii="Times New Roman" w:hAnsi="Times New Roman"/>
          <w:sz w:val="24"/>
          <w:szCs w:val="24"/>
          <w:lang w:val="x-none"/>
        </w:rPr>
        <w:t>RegiX</w:t>
      </w:r>
      <w:proofErr w:type="spellEnd"/>
      <w:r>
        <w:rPr>
          <w:rFonts w:ascii="Times New Roman" w:hAnsi="Times New Roman"/>
          <w:sz w:val="24"/>
          <w:szCs w:val="24"/>
          <w:lang w:val="x-none"/>
        </w:rPr>
        <w:t>.</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Информационната система поддържа автоматизирани интерфейси за осигуряване на свободен публичен достъп до информацията по ал. 3 в </w:t>
      </w:r>
      <w:proofErr w:type="spellStart"/>
      <w:r>
        <w:rPr>
          <w:rFonts w:ascii="Times New Roman" w:hAnsi="Times New Roman"/>
          <w:sz w:val="24"/>
          <w:szCs w:val="24"/>
          <w:lang w:val="x-none"/>
        </w:rPr>
        <w:t>машинночетим</w:t>
      </w:r>
      <w:proofErr w:type="spellEnd"/>
      <w:r>
        <w:rPr>
          <w:rFonts w:ascii="Times New Roman" w:hAnsi="Times New Roman"/>
          <w:sz w:val="24"/>
          <w:szCs w:val="24"/>
          <w:lang w:val="x-none"/>
        </w:rPr>
        <w:t xml:space="preserve"> отворен формат, включително чрез ежегодното й публикуване в портала за отворени данни по реда на Закона за достъп до обществена информация и в съответствие с Наредбата за общите изисквания към информационните системи, регистрите и електронните административни услуги, приета с Постановление № 3 на Министерския съвет от 2017 г. (ДВ, бр. 5 от 2017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(1) Достъпът до Информационната система "Единен регистър на вещите лица" е свободен.</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Публичните потребители на Информационната система "Единен регистър на вещите лица" имат достъп до публичната част от данните за вещите лица и до образците от документи, които се използват за кандидатстване или за промени във вписаните обстоятелства.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(1) Служебен достъп до Информационната система "Единен регистър на вещите лица" имат: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служители на Министерството на правосъдието, определени със заповед на министъра на правосъдието;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съдебни регистратори, определени от административни ръководители на органите на съдебната власт, за чиито съдебни райони се съставят списъци на вещи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6.12.2024 г.) съдиите, прокурорите, следователите и разследващите органи в Министерството на вътрешните работи;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съдебните изпълнители;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Служебен достъп до Информационната система се осигурява чрез хоризонталната система </w:t>
      </w:r>
      <w:proofErr w:type="spellStart"/>
      <w:r>
        <w:rPr>
          <w:rFonts w:ascii="Times New Roman" w:hAnsi="Times New Roman"/>
          <w:sz w:val="24"/>
          <w:szCs w:val="24"/>
          <w:lang w:val="x-none"/>
        </w:rPr>
        <w:t>еАвтентикация</w:t>
      </w:r>
      <w:proofErr w:type="spellEnd"/>
      <w:r>
        <w:rPr>
          <w:rFonts w:ascii="Times New Roman" w:hAnsi="Times New Roman"/>
          <w:sz w:val="24"/>
          <w:szCs w:val="24"/>
          <w:lang w:val="x-none"/>
        </w:rPr>
        <w:t>, разработена и поддържана от Министерството на електронното управление.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1.01.2026 г.) Служителите по чл. 40, ал. 1, т. 1 чрез квалифициран електронен подпис имат достъп до Информационната система и право да извършват справки по досиетата на вещите лица от всички списъци за територията на цялата страна.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1.01.2026 г.) Съдебните регистратори по чл. 40, ал. 1, т. 2 чрез квалифициран електронен подпис имат достъп до данните на вещите лица в съответния съдебен район и права да ги въвеждат или актуализират незабавно след утвърждаването на списъците по чл. 398, ал. 1 и 2 от Закона за съдебната власт. Те са длъжни в срока по чл. 14, ал. 3 да актуализират електронните досиета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1.01.2026 г.) Съдиите, прокурорите, следователите, разследващите органи в Министерството на вътрешните работи, както и съдебните изпълнители, чрез квалифициран електронен подпис имат достъп до досиетата на вещите лица от всички списъци за територията на цялата страна.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 в сила от 1.01.2026 г.) Вещите лица чрез квалифициран електронен подпис имат достъп до своето досие.</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По смисъла на тази наредба: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"Вещо лице" е специалист със специални знания и умения, включен в списък по чл. 398 от Закона за съдебната власт, както и специалист със специални знания и умения, който е назначен при условията на чл. 396, ал. 2 от Закона за съдебната власт.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"Необходими разходи" са разходите, използвани за материали, консумативи, съоръжения и др., без които експертизата не може да бъде изготвена.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"Действително отработен час" е времето за извършване на: оглед на обекти, събиране на образци за сравнително изследване, измерване, преглеждане на документи, справки в архиви, участие в назначени процесуални действия, експерименти, изследвания, анализи и други дейности, необходими за изготвяне на експертизата.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"Експертиза" е процесуално регламентирана дейност, извършвана по искане на компетентния орган от лица, които притежават специални знания и умения за изследване на определени обекти или други обстоятелства, свързани с изясняването на определени обстоятелства.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"Образци за сравнително изследване" са еднородни материални обекти с обекта на изследване и се използват в хода на идентификационните експертизи за обосноваване наличието или липсата на тъждество на един обект със самия него.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"Специални знания" са тези знания, които отговарят едновременно на следните изисквания: не са юридически, с изключение на тези, които се отнасят до чуждестранно законодателство и практика; не са общоизвестни; получени са в резултат на теоретична подготовка и практически опит по определена научна дисциплина.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"Познавателна независимост" е самостоятелност при избора на методи и средства, използвани при експертното изследване.</w:t>
      </w:r>
    </w:p>
    <w:p w:rsidR="00697BC3" w:rsidRDefault="00697BC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Тази наредба се издава на основание чл. 403, ал. 1 от Закона за съдебната власт.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3</w:t>
      </w:r>
      <w:r>
        <w:rPr>
          <w:rFonts w:ascii="Times New Roman" w:hAnsi="Times New Roman"/>
          <w:sz w:val="24"/>
          <w:szCs w:val="24"/>
          <w:lang w:val="x-none"/>
        </w:rPr>
        <w:t>. Тази наредба отменя Наредба № 2 от 2015 г. за вписването, квалификацията и възнагражденията на вещите лица (ДВ, бр. 50 от 2015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Наредба № Н-1 от 2023 г.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вписването, квалификацията и възнагражденията на вещите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Наредбата влиза в сила от деня на обнародването й в "Държавен вестник", с изключение на: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11, т. 1 и 2 в частта относно замяната на числото "20" с "40", § 14, т. 1 и § 15, които влизат в сила от 1 януари 2025 г.;</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параграфи 19 – 22, които влизат в сила от 1 януари 2026 г.</w:t>
      </w:r>
    </w:p>
    <w:p w:rsidR="00697BC3" w:rsidRDefault="00697BC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1</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4</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(Изм. и доп. – ДВ, </w:t>
      </w:r>
      <w:r>
        <w:rPr>
          <w:rFonts w:ascii="Times New Roman" w:hAnsi="Times New Roman"/>
          <w:sz w:val="24"/>
          <w:szCs w:val="24"/>
          <w:lang w:val="x-none"/>
        </w:rPr>
        <w:t xml:space="preserve">бр. 103 </w:t>
      </w:r>
      <w:r>
        <w:rPr>
          <w:rFonts w:ascii="Courier New" w:hAnsi="Courier New" w:cs="Courier New"/>
          <w:b/>
          <w:bCs/>
          <w:sz w:val="20"/>
          <w:szCs w:val="20"/>
          <w:lang w:val="x-none"/>
        </w:rPr>
        <w:t>от</w:t>
      </w:r>
      <w:r>
        <w:rPr>
          <w:rFonts w:ascii="Times New Roman" w:hAnsi="Times New Roman"/>
          <w:sz w:val="24"/>
          <w:szCs w:val="24"/>
          <w:lang w:val="x-none"/>
        </w:rPr>
        <w:t xml:space="preserve"> 2024 г.</w:t>
      </w:r>
      <w:r>
        <w:rPr>
          <w:rFonts w:ascii="Courier New" w:hAnsi="Courier New" w:cs="Courier New"/>
          <w:sz w:val="20"/>
          <w:szCs w:val="20"/>
          <w:lang w:val="x-none"/>
        </w:rPr>
        <w:t xml:space="preserve"> , </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 сила от 6.12.2024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Съдебни експертизи по класове и 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1. </w:t>
            </w:r>
            <w:r>
              <w:rPr>
                <w:rFonts w:ascii="Times New Roman" w:hAnsi="Times New Roman"/>
                <w:i/>
                <w:iCs/>
                <w:sz w:val="24"/>
                <w:szCs w:val="24"/>
                <w:lang w:val="x-none"/>
              </w:rPr>
              <w:t>Клас "</w:t>
            </w:r>
            <w:proofErr w:type="spellStart"/>
            <w:r>
              <w:rPr>
                <w:rFonts w:ascii="Times New Roman" w:hAnsi="Times New Roman"/>
                <w:i/>
                <w:iCs/>
                <w:sz w:val="24"/>
                <w:szCs w:val="24"/>
                <w:lang w:val="x-none"/>
              </w:rPr>
              <w:t>Криминалистични</w:t>
            </w:r>
            <w:proofErr w:type="spellEnd"/>
            <w:r>
              <w:rPr>
                <w:rFonts w:ascii="Times New Roman" w:hAnsi="Times New Roman"/>
                <w:i/>
                <w:iCs/>
                <w:sz w:val="24"/>
                <w:szCs w:val="24"/>
                <w:lang w:val="x-none"/>
              </w:rPr>
              <w:t xml:space="preserve">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roofErr w:type="spellStart"/>
            <w:r>
              <w:rPr>
                <w:rFonts w:ascii="Times New Roman" w:hAnsi="Times New Roman"/>
                <w:sz w:val="24"/>
                <w:szCs w:val="24"/>
                <w:lang w:val="x-none"/>
              </w:rPr>
              <w:t>1</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Криминалистични</w:t>
            </w:r>
            <w:proofErr w:type="spellEnd"/>
            <w:r>
              <w:rPr>
                <w:rFonts w:ascii="Times New Roman" w:hAnsi="Times New Roman"/>
                <w:sz w:val="24"/>
                <w:szCs w:val="24"/>
                <w:lang w:val="x-none"/>
              </w:rPr>
              <w:t xml:space="preserve"> експертизи на писмени доказателства.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w:t>
            </w:r>
            <w:proofErr w:type="spellStart"/>
            <w:r>
              <w:rPr>
                <w:rFonts w:ascii="Times New Roman" w:hAnsi="Times New Roman"/>
                <w:sz w:val="24"/>
                <w:szCs w:val="24"/>
                <w:lang w:val="x-none"/>
              </w:rPr>
              <w:t>Трасологични</w:t>
            </w:r>
            <w:proofErr w:type="spellEnd"/>
            <w:r>
              <w:rPr>
                <w:rFonts w:ascii="Times New Roman" w:hAnsi="Times New Roman"/>
                <w:sz w:val="24"/>
                <w:szCs w:val="24"/>
                <w:lang w:val="x-none"/>
              </w:rPr>
              <w:t xml:space="preserve">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Съдебно-балистични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w:t>
            </w:r>
            <w:proofErr w:type="spellStart"/>
            <w:r>
              <w:rPr>
                <w:rFonts w:ascii="Times New Roman" w:hAnsi="Times New Roman"/>
                <w:sz w:val="24"/>
                <w:szCs w:val="24"/>
                <w:lang w:val="x-none"/>
              </w:rPr>
              <w:t>Дактилоскопни</w:t>
            </w:r>
            <w:proofErr w:type="spellEnd"/>
            <w:r>
              <w:rPr>
                <w:rFonts w:ascii="Times New Roman" w:hAnsi="Times New Roman"/>
                <w:sz w:val="24"/>
                <w:szCs w:val="24"/>
                <w:lang w:val="x-none"/>
              </w:rPr>
              <w:t xml:space="preserve">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Биометрични криминалистични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1.6.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 Лицево-идентификационни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 </w:t>
            </w:r>
            <w:proofErr w:type="spellStart"/>
            <w:r>
              <w:rPr>
                <w:rFonts w:ascii="Times New Roman" w:hAnsi="Times New Roman"/>
                <w:sz w:val="24"/>
                <w:szCs w:val="24"/>
                <w:lang w:val="x-none"/>
              </w:rPr>
              <w:t>Фоноскопни</w:t>
            </w:r>
            <w:proofErr w:type="spellEnd"/>
            <w:r>
              <w:rPr>
                <w:rFonts w:ascii="Times New Roman" w:hAnsi="Times New Roman"/>
                <w:sz w:val="24"/>
                <w:szCs w:val="24"/>
                <w:lang w:val="x-none"/>
              </w:rPr>
              <w:t xml:space="preserve">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1.8.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 Идентификация на моторни превозни средства.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2. </w:t>
            </w:r>
            <w:r>
              <w:rPr>
                <w:rFonts w:ascii="Times New Roman" w:hAnsi="Times New Roman"/>
                <w:i/>
                <w:iCs/>
                <w:sz w:val="24"/>
                <w:szCs w:val="24"/>
                <w:lang w:val="x-none"/>
              </w:rPr>
              <w:t>Клас "Съдебномедицински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Съдебномедицинска експертиза на труп и трупни части.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roofErr w:type="spellStart"/>
            <w:r>
              <w:rPr>
                <w:rFonts w:ascii="Times New Roman" w:hAnsi="Times New Roman"/>
                <w:sz w:val="24"/>
                <w:szCs w:val="24"/>
                <w:lang w:val="x-none"/>
              </w:rPr>
              <w:t>2</w:t>
            </w:r>
            <w:proofErr w:type="spellEnd"/>
            <w:r>
              <w:rPr>
                <w:rFonts w:ascii="Times New Roman" w:hAnsi="Times New Roman"/>
                <w:sz w:val="24"/>
                <w:szCs w:val="24"/>
                <w:lang w:val="x-none"/>
              </w:rPr>
              <w:t>. Съдебномедицинска експертиза на живи лица.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Съдебномедицинска експертиза на веществени доказателства.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Съдебномедицинска експертиза по материали на досъдебното и съдебното производство.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Съдебномедицинска експертиза за телесно здраве.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Съдебномедицински експертизи за идентификация на човека.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 Съдебномедицинска експертиза за установяване на родителския произход.</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2.8.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 Съдебномедицински експертизи за идентификация на личността, включително и при изследвания за родителски произход, чрез </w:t>
            </w:r>
            <w:proofErr w:type="spellStart"/>
            <w:r>
              <w:rPr>
                <w:rFonts w:ascii="Times New Roman" w:hAnsi="Times New Roman"/>
                <w:sz w:val="24"/>
                <w:szCs w:val="24"/>
                <w:lang w:val="x-none"/>
              </w:rPr>
              <w:t>серологични</w:t>
            </w:r>
            <w:proofErr w:type="spellEnd"/>
            <w:r>
              <w:rPr>
                <w:rFonts w:ascii="Times New Roman" w:hAnsi="Times New Roman"/>
                <w:sz w:val="24"/>
                <w:szCs w:val="24"/>
                <w:lang w:val="x-none"/>
              </w:rPr>
              <w:t xml:space="preserve">, ДНК, морфологични, </w:t>
            </w:r>
            <w:proofErr w:type="spellStart"/>
            <w:r>
              <w:rPr>
                <w:rFonts w:ascii="Times New Roman" w:hAnsi="Times New Roman"/>
                <w:sz w:val="24"/>
                <w:szCs w:val="24"/>
                <w:lang w:val="x-none"/>
              </w:rPr>
              <w:t>морфометрични</w:t>
            </w:r>
            <w:proofErr w:type="spellEnd"/>
            <w:r>
              <w:rPr>
                <w:rFonts w:ascii="Times New Roman" w:hAnsi="Times New Roman"/>
                <w:sz w:val="24"/>
                <w:szCs w:val="24"/>
                <w:lang w:val="x-none"/>
              </w:rPr>
              <w:t xml:space="preserve"> и други анализи.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lastRenderedPageBreak/>
              <w:t xml:space="preserve">3. </w:t>
            </w:r>
            <w:r>
              <w:rPr>
                <w:rFonts w:ascii="Times New Roman" w:hAnsi="Times New Roman"/>
                <w:i/>
                <w:iCs/>
                <w:sz w:val="24"/>
                <w:szCs w:val="24"/>
                <w:lang w:val="x-none"/>
              </w:rPr>
              <w:t>Клас "Съдебна експертиза на психичното състояние"</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Съдебно-психиатрична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Съдебно-психологична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w:t>
            </w:r>
            <w:proofErr w:type="spellStart"/>
            <w:r>
              <w:rPr>
                <w:rFonts w:ascii="Times New Roman" w:hAnsi="Times New Roman"/>
                <w:sz w:val="24"/>
                <w:szCs w:val="24"/>
                <w:lang w:val="x-none"/>
              </w:rPr>
              <w:t>3</w:t>
            </w:r>
            <w:proofErr w:type="spellEnd"/>
            <w:r>
              <w:rPr>
                <w:rFonts w:ascii="Times New Roman" w:hAnsi="Times New Roman"/>
                <w:sz w:val="24"/>
                <w:szCs w:val="24"/>
                <w:lang w:val="x-none"/>
              </w:rPr>
              <w:t xml:space="preserve">. Съдебна </w:t>
            </w:r>
            <w:proofErr w:type="spellStart"/>
            <w:r>
              <w:rPr>
                <w:rFonts w:ascii="Times New Roman" w:hAnsi="Times New Roman"/>
                <w:sz w:val="24"/>
                <w:szCs w:val="24"/>
                <w:lang w:val="x-none"/>
              </w:rPr>
              <w:t>психолого-психиатрична</w:t>
            </w:r>
            <w:proofErr w:type="spellEnd"/>
            <w:r>
              <w:rPr>
                <w:rFonts w:ascii="Times New Roman" w:hAnsi="Times New Roman"/>
                <w:sz w:val="24"/>
                <w:szCs w:val="24"/>
                <w:lang w:val="x-none"/>
              </w:rPr>
              <w:t xml:space="preserve">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3.4. Съдебна експертиза на психичното състояние по писмени данни.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4. </w:t>
            </w:r>
            <w:r>
              <w:rPr>
                <w:rFonts w:ascii="Times New Roman" w:hAnsi="Times New Roman"/>
                <w:i/>
                <w:iCs/>
                <w:sz w:val="24"/>
                <w:szCs w:val="24"/>
                <w:lang w:val="x-none"/>
              </w:rPr>
              <w:t>Клас "Съдебно-икономически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Съдебно-счетоводна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Съдебна финансово-икономическа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 Съдебно-стокова експертиза.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5. </w:t>
            </w:r>
            <w:r>
              <w:rPr>
                <w:rFonts w:ascii="Times New Roman" w:hAnsi="Times New Roman"/>
                <w:i/>
                <w:iCs/>
                <w:sz w:val="24"/>
                <w:szCs w:val="24"/>
                <w:lang w:val="x-none"/>
              </w:rPr>
              <w:t>Клас "Съдебни инженерно-технически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Съдебна инженерно-техническа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Съдебна автотехническа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5.3. Съдебна инженерно-технологична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5.4. Съдебна компютърно-техническа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w:t>
            </w:r>
            <w:proofErr w:type="spellStart"/>
            <w:r>
              <w:rPr>
                <w:rFonts w:ascii="Times New Roman" w:hAnsi="Times New Roman"/>
                <w:sz w:val="24"/>
                <w:szCs w:val="24"/>
                <w:lang w:val="x-none"/>
              </w:rPr>
              <w:t>5</w:t>
            </w:r>
            <w:proofErr w:type="spellEnd"/>
            <w:r>
              <w:rPr>
                <w:rFonts w:ascii="Times New Roman" w:hAnsi="Times New Roman"/>
                <w:sz w:val="24"/>
                <w:szCs w:val="24"/>
                <w:lang w:val="x-none"/>
              </w:rPr>
              <w:t>. Съдебна строително-техническа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5.6. Съдебна пожаротехническа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5.7. Съдебно-енергийна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5.8. </w:t>
            </w:r>
            <w:proofErr w:type="spellStart"/>
            <w:r>
              <w:rPr>
                <w:rFonts w:ascii="Times New Roman" w:hAnsi="Times New Roman"/>
                <w:sz w:val="24"/>
                <w:szCs w:val="24"/>
                <w:lang w:val="x-none"/>
              </w:rPr>
              <w:t>Съдебнооценителска</w:t>
            </w:r>
            <w:proofErr w:type="spellEnd"/>
            <w:r>
              <w:rPr>
                <w:rFonts w:ascii="Times New Roman" w:hAnsi="Times New Roman"/>
                <w:sz w:val="24"/>
                <w:szCs w:val="24"/>
                <w:lang w:val="x-none"/>
              </w:rPr>
              <w:t xml:space="preserve"> автотехническа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5.9.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 Съдебна електротехническа експертиза.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6. </w:t>
            </w:r>
            <w:r>
              <w:rPr>
                <w:rFonts w:ascii="Times New Roman" w:hAnsi="Times New Roman"/>
                <w:i/>
                <w:iCs/>
                <w:sz w:val="24"/>
                <w:szCs w:val="24"/>
                <w:lang w:val="x-none"/>
              </w:rPr>
              <w:t>Клас "Съдебно-биологични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6.1. Съдебно-ботаническа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6.2. Съдебно-зоологическа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Съдебно-микробиологична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6.4. Съдебно-ентомологична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6.5. Съдебно-екологична експертиза.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7. </w:t>
            </w:r>
            <w:r>
              <w:rPr>
                <w:rFonts w:ascii="Times New Roman" w:hAnsi="Times New Roman"/>
                <w:i/>
                <w:iCs/>
                <w:sz w:val="24"/>
                <w:szCs w:val="24"/>
                <w:lang w:val="x-none"/>
              </w:rPr>
              <w:t>Клас "Експертизи на материали, вещества и изделия"</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7.1. Съдебно-химическа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7.2. Съдебно-физическа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7.3. Съдебна физико-химическа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7.4. Съдебна химико-токсикологична (</w:t>
            </w:r>
            <w:proofErr w:type="spellStart"/>
            <w:r>
              <w:rPr>
                <w:rFonts w:ascii="Times New Roman" w:hAnsi="Times New Roman"/>
                <w:sz w:val="24"/>
                <w:szCs w:val="24"/>
                <w:lang w:val="x-none"/>
              </w:rPr>
              <w:t>токсикохимична</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експертизa</w:t>
            </w:r>
            <w:proofErr w:type="spellEnd"/>
            <w:r>
              <w:rPr>
                <w:rFonts w:ascii="Times New Roman" w:hAnsi="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8. </w:t>
            </w:r>
            <w:r>
              <w:rPr>
                <w:rFonts w:ascii="Times New Roman" w:hAnsi="Times New Roman"/>
                <w:i/>
                <w:iCs/>
                <w:sz w:val="24"/>
                <w:szCs w:val="24"/>
                <w:lang w:val="x-none"/>
              </w:rPr>
              <w:t>Клас "Съдебни селскостопански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8.1. Съдебна ветеринарномедицинска експертиза.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8.2. Съдебна агротехническа експертиза.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lastRenderedPageBreak/>
              <w:t xml:space="preserve">9. </w:t>
            </w:r>
            <w:r>
              <w:rPr>
                <w:rFonts w:ascii="Times New Roman" w:hAnsi="Times New Roman"/>
                <w:i/>
                <w:iCs/>
                <w:sz w:val="24"/>
                <w:szCs w:val="24"/>
                <w:lang w:val="x-none"/>
              </w:rPr>
              <w:t>Клас "Съдебно-изкуствоведски експертизи"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10. </w:t>
            </w:r>
            <w:r>
              <w:rPr>
                <w:rFonts w:ascii="Times New Roman" w:hAnsi="Times New Roman"/>
                <w:i/>
                <w:iCs/>
                <w:sz w:val="24"/>
                <w:szCs w:val="24"/>
                <w:lang w:val="x-none"/>
              </w:rPr>
              <w:t>Клас "Оценителни експертизи"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10.1. Оценка на недвижими имоти.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10.2. Оценка на недвижими културни ценности.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10.3. Оценка на машини и съоръжения.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10.4. Оценка на права на интелектуалната и индустриалната собственост и други фактически отношения.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10.5. Оценка на търговски предприятия и вземания.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10.6. Оценка на финансови активи и финансови институции.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10.7. Оценка на други активи, включително произведения на изкуството, които не са движими културни ценности.</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10.8. Оценка на земеделски земи и трайни насаждения.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10.9. Оценка на поземлени имоти в горски територии.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11. (Нова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 </w:t>
            </w:r>
            <w:r>
              <w:rPr>
                <w:rFonts w:ascii="Times New Roman" w:hAnsi="Times New Roman"/>
                <w:i/>
                <w:iCs/>
                <w:sz w:val="24"/>
                <w:szCs w:val="24"/>
                <w:lang w:val="x-none"/>
              </w:rPr>
              <w:t>Клас "</w:t>
            </w:r>
            <w:proofErr w:type="spellStart"/>
            <w:r>
              <w:rPr>
                <w:rFonts w:ascii="Times New Roman" w:hAnsi="Times New Roman"/>
                <w:i/>
                <w:iCs/>
                <w:sz w:val="24"/>
                <w:szCs w:val="24"/>
                <w:lang w:val="x-none"/>
              </w:rPr>
              <w:t>Криминалистични</w:t>
            </w:r>
            <w:proofErr w:type="spellEnd"/>
            <w:r>
              <w:rPr>
                <w:rFonts w:ascii="Times New Roman" w:hAnsi="Times New Roman"/>
                <w:i/>
                <w:iCs/>
                <w:sz w:val="24"/>
                <w:szCs w:val="24"/>
                <w:lang w:val="x-none"/>
              </w:rPr>
              <w:t xml:space="preserve"> експертизи в областта на цифровите и комуникационните технологии"</w:t>
            </w:r>
          </w:p>
          <w:p w:rsidR="00697BC3" w:rsidRDefault="00697BC3">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Видове: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 </w:t>
            </w:r>
            <w:proofErr w:type="spellStart"/>
            <w:r>
              <w:rPr>
                <w:rFonts w:ascii="Times New Roman" w:hAnsi="Times New Roman"/>
                <w:sz w:val="24"/>
                <w:szCs w:val="24"/>
                <w:lang w:val="x-none"/>
              </w:rPr>
              <w:t>Криминалистична</w:t>
            </w:r>
            <w:proofErr w:type="spellEnd"/>
            <w:r>
              <w:rPr>
                <w:rFonts w:ascii="Times New Roman" w:hAnsi="Times New Roman"/>
                <w:sz w:val="24"/>
                <w:szCs w:val="24"/>
                <w:lang w:val="x-none"/>
              </w:rPr>
              <w:t xml:space="preserve"> експертиза на компютърни системи и мрежови устройства.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11.2. </w:t>
            </w:r>
            <w:proofErr w:type="spellStart"/>
            <w:r>
              <w:rPr>
                <w:rFonts w:ascii="Times New Roman" w:hAnsi="Times New Roman"/>
                <w:sz w:val="24"/>
                <w:szCs w:val="24"/>
                <w:lang w:val="x-none"/>
              </w:rPr>
              <w:t>Криминалистична</w:t>
            </w:r>
            <w:proofErr w:type="spellEnd"/>
            <w:r>
              <w:rPr>
                <w:rFonts w:ascii="Times New Roman" w:hAnsi="Times New Roman"/>
                <w:sz w:val="24"/>
                <w:szCs w:val="24"/>
                <w:lang w:val="x-none"/>
              </w:rPr>
              <w:t xml:space="preserve"> експертиза на комуникационни устройства.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11.3. </w:t>
            </w:r>
            <w:proofErr w:type="spellStart"/>
            <w:r>
              <w:rPr>
                <w:rFonts w:ascii="Times New Roman" w:hAnsi="Times New Roman"/>
                <w:sz w:val="24"/>
                <w:szCs w:val="24"/>
                <w:lang w:val="x-none"/>
              </w:rPr>
              <w:t>Криминалистична</w:t>
            </w:r>
            <w:proofErr w:type="spellEnd"/>
            <w:r>
              <w:rPr>
                <w:rFonts w:ascii="Times New Roman" w:hAnsi="Times New Roman"/>
                <w:sz w:val="24"/>
                <w:szCs w:val="24"/>
                <w:lang w:val="x-none"/>
              </w:rPr>
              <w:t xml:space="preserve"> експертиза на електронни устройства.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11.4. </w:t>
            </w:r>
            <w:proofErr w:type="spellStart"/>
            <w:r>
              <w:rPr>
                <w:rFonts w:ascii="Times New Roman" w:hAnsi="Times New Roman"/>
                <w:sz w:val="24"/>
                <w:szCs w:val="24"/>
                <w:lang w:val="x-none"/>
              </w:rPr>
              <w:t>Криминалистична</w:t>
            </w:r>
            <w:proofErr w:type="spellEnd"/>
            <w:r>
              <w:rPr>
                <w:rFonts w:ascii="Times New Roman" w:hAnsi="Times New Roman"/>
                <w:sz w:val="24"/>
                <w:szCs w:val="24"/>
                <w:lang w:val="x-none"/>
              </w:rPr>
              <w:t xml:space="preserve"> експертиза на видео/аудиозаписи и цифрови изображения.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11.5. </w:t>
            </w:r>
            <w:proofErr w:type="spellStart"/>
            <w:r>
              <w:rPr>
                <w:rFonts w:ascii="Times New Roman" w:hAnsi="Times New Roman"/>
                <w:sz w:val="24"/>
                <w:szCs w:val="24"/>
                <w:lang w:val="x-none"/>
              </w:rPr>
              <w:t>Криминалистична</w:t>
            </w:r>
            <w:proofErr w:type="spellEnd"/>
            <w:r>
              <w:rPr>
                <w:rFonts w:ascii="Times New Roman" w:hAnsi="Times New Roman"/>
                <w:sz w:val="24"/>
                <w:szCs w:val="24"/>
                <w:lang w:val="x-none"/>
              </w:rPr>
              <w:t xml:space="preserve"> експертиза на облачни пространства.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97BC3">
        <w:trPr>
          <w:tblCellSpacing w:w="15" w:type="dxa"/>
        </w:trPr>
        <w:tc>
          <w:tcPr>
            <w:tcW w:w="9645"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12. (Предишна т. 11 – ДВ, бр. 103 </w:t>
            </w:r>
            <w:r>
              <w:rPr>
                <w:rFonts w:ascii="Times New Roman" w:hAnsi="Times New Roman"/>
                <w:b/>
                <w:bCs/>
                <w:sz w:val="24"/>
                <w:szCs w:val="24"/>
                <w:lang w:val="x-none"/>
              </w:rPr>
              <w:t>от</w:t>
            </w:r>
            <w:r>
              <w:rPr>
                <w:rFonts w:ascii="Times New Roman" w:hAnsi="Times New Roman"/>
                <w:sz w:val="24"/>
                <w:szCs w:val="24"/>
                <w:lang w:val="x-none"/>
              </w:rPr>
              <w:t xml:space="preserve"> 2024 г., в сила от 6.12.2024 г.) </w:t>
            </w:r>
            <w:r>
              <w:rPr>
                <w:rFonts w:ascii="Times New Roman" w:hAnsi="Times New Roman"/>
                <w:i/>
                <w:iCs/>
                <w:sz w:val="24"/>
                <w:szCs w:val="24"/>
                <w:lang w:val="x-none"/>
              </w:rPr>
              <w:t>Клас "Други съдебни експертизи"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97BC3">
              <w:trPr>
                <w:tblCellSpacing w:w="15" w:type="dxa"/>
              </w:trPr>
              <w:tc>
                <w:tcPr>
                  <w:tcW w:w="9555"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10, ал. 1</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(Ново – ДВ, </w:t>
      </w:r>
      <w:r>
        <w:rPr>
          <w:rFonts w:ascii="Times New Roman" w:hAnsi="Times New Roman"/>
          <w:sz w:val="24"/>
          <w:szCs w:val="24"/>
          <w:lang w:val="x-none"/>
        </w:rPr>
        <w:t xml:space="preserve">бр. 103 </w:t>
      </w:r>
      <w:r>
        <w:rPr>
          <w:rFonts w:ascii="Courier New" w:hAnsi="Courier New" w:cs="Courier New"/>
          <w:b/>
          <w:bCs/>
          <w:sz w:val="20"/>
          <w:szCs w:val="20"/>
          <w:lang w:val="x-none"/>
        </w:rPr>
        <w:t>от</w:t>
      </w:r>
      <w:r>
        <w:rPr>
          <w:rFonts w:ascii="Times New Roman" w:hAnsi="Times New Roman"/>
          <w:sz w:val="24"/>
          <w:szCs w:val="24"/>
          <w:lang w:val="x-none"/>
        </w:rPr>
        <w:t xml:space="preserve"> 2024 г.</w:t>
      </w:r>
      <w:r>
        <w:rPr>
          <w:rFonts w:ascii="Courier New" w:hAnsi="Courier New" w:cs="Courier New"/>
          <w:sz w:val="20"/>
          <w:szCs w:val="20"/>
          <w:lang w:val="x-none"/>
        </w:rPr>
        <w:t xml:space="preserve"> , </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 сила от 6.12.2024 г.)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97BC3">
        <w:trPr>
          <w:tblCellSpacing w:w="15" w:type="dxa"/>
        </w:trPr>
        <w:tc>
          <w:tcPr>
            <w:tcW w:w="10185"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697BC3">
              <w:trPr>
                <w:tblCellSpacing w:w="0" w:type="dxa"/>
              </w:trPr>
              <w:tc>
                <w:tcPr>
                  <w:tcW w:w="10200" w:type="dxa"/>
                  <w:tcBorders>
                    <w:top w:val="nil"/>
                    <w:left w:val="nil"/>
                    <w:bottom w:val="nil"/>
                    <w:right w:val="nil"/>
                  </w:tcBorders>
                </w:tcPr>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97BC3" w:rsidRDefault="00697BC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З А Я В Л Е Н И 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от  ......................................................................................................................................,</w:t>
                  </w:r>
                </w:p>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(име: собствено, бащино, фамилно)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ЕГН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адрес за призоваване: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пощенски код:  ....................., гр./с. ........................., община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район  ..................................., ж.к.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ул.  ................................................., бл.  .........., вх.  ............, ет.  ..........., ап.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телефон за контакт: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e-mail</w:t>
                  </w:r>
                  <w:proofErr w:type="spellEnd"/>
                  <w:r>
                    <w:rPr>
                      <w:rFonts w:ascii="Times New Roman" w:hAnsi="Times New Roman"/>
                      <w:sz w:val="24"/>
                      <w:szCs w:val="24"/>
                      <w:lang w:val="x-none"/>
                    </w:rPr>
                    <w:t>: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образование: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специалност: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номер или електронен номер на диплома за завършено висше образование с придобита след 1 януари 2012 г. образователно-квалификационна степен „магистър“ или „бакалавър“: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номер на удостоверение за признаване на висше образование, придобито във висши учебни заведения в чужбина след месец април 2009 г.: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номер на диплома за завършено след 1 януари 2007 г. средно образование: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допълнителна квалификация:  ............., продължителност на трудовия стаж: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стаж като вещо лице: да/не, продължителност: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месторабота: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заемана длъжност: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УВАЖАЕМИ/А ГОСПОДИНЕ/ГОСПОЖО,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Моля, да бъда вписан/а в списъка на специалистите, утвърдени за вещи лица за съдебния район на  ................., в следния клас и вид експертиза: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което прилагам необходимите документи съгласно чл. 10 от Наредба № Н-1 от 2023 г. за вписването, квалификацията и възнагражденията на вещите лица, издадена от министъра на правосъдието (ДВ, бр. 18 от 2023 г.), със специалност: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ПРИЛОЖЕНИЕ: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заверено копие от диплома за завършено висше образование с придобита преди 1 януари 2012 г. образователно-квалификационна степен „магистър“, „бакалавър“ или диплома за завършено преди 1 януари 2007 г. средно образование;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кандидати, които са служители на МВР – документи за завършено специално обучение в Академията на МВР или в Националния институт по криминалистика на МВР;</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документи, удостоверяващи стажа по специалността: заверено копие на трудова или служебна книжка, а за лицата със свободни професии се посочва код по БУЛСТАТ;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декларация, че лицето не е поставено под запрещение;</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декларация, удостоверяваща съответствието с изискванията по чл. 7, ал. 2, т. 2 и 3;</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удостоверение за достъп до класифицирана информация, ако има такова;</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заверено копие от сертификат, свидетелство, удостоверение, лиценз или друг документ, издаден от висше училище, професионална организация или </w:t>
                  </w:r>
                  <w:proofErr w:type="spellStart"/>
                  <w:r>
                    <w:rPr>
                      <w:rFonts w:ascii="Times New Roman" w:hAnsi="Times New Roman"/>
                      <w:sz w:val="24"/>
                      <w:szCs w:val="24"/>
                      <w:lang w:val="x-none"/>
                    </w:rPr>
                    <w:t>учреждение</w:t>
                  </w:r>
                  <w:proofErr w:type="spellEnd"/>
                  <w:r>
                    <w:rPr>
                      <w:rFonts w:ascii="Times New Roman" w:hAnsi="Times New Roman"/>
                      <w:sz w:val="24"/>
                      <w:szCs w:val="24"/>
                      <w:lang w:val="x-none"/>
                    </w:rPr>
                    <w:t xml:space="preserve"> по силата на закон, с който документ се удостоверява наличието на съответната квалификация или правоспособност;</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11. свидетелство за съдимост, ако лицето не е български гражданин.</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Дата:                                                                                Подпис:</w:t>
                  </w:r>
                </w:p>
                <w:p w:rsidR="00697BC3" w:rsidRDefault="00697BC3">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(име: собствено, бащино, фамилно)</w:t>
                  </w:r>
                </w:p>
                <w:p w:rsidR="00697BC3" w:rsidRDefault="00697BC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bl>
    <w:p w:rsidR="00697BC3" w:rsidRDefault="00697BC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3</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23, ал. 2 и чл. 24, ал. 2</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(Предишно приложение № 2 – ДВ, </w:t>
      </w:r>
      <w:r>
        <w:rPr>
          <w:rFonts w:ascii="Times New Roman" w:hAnsi="Times New Roman"/>
          <w:sz w:val="24"/>
          <w:szCs w:val="24"/>
          <w:lang w:val="x-none"/>
        </w:rPr>
        <w:t xml:space="preserve">бр. 103 </w:t>
      </w:r>
      <w:r>
        <w:rPr>
          <w:rFonts w:ascii="Courier New" w:hAnsi="Courier New" w:cs="Courier New"/>
          <w:b/>
          <w:bCs/>
          <w:sz w:val="20"/>
          <w:szCs w:val="20"/>
          <w:lang w:val="x-none"/>
        </w:rPr>
        <w:t>от</w:t>
      </w:r>
      <w:r>
        <w:rPr>
          <w:rFonts w:ascii="Times New Roman" w:hAnsi="Times New Roman"/>
          <w:sz w:val="24"/>
          <w:szCs w:val="24"/>
          <w:lang w:val="x-none"/>
        </w:rPr>
        <w:t xml:space="preserve"> 2024 г.</w:t>
      </w:r>
      <w:r>
        <w:rPr>
          <w:rFonts w:ascii="Courier New" w:hAnsi="Courier New" w:cs="Courier New"/>
          <w:sz w:val="20"/>
          <w:szCs w:val="20"/>
          <w:lang w:val="x-none"/>
        </w:rPr>
        <w:t xml:space="preserve"> , </w:t>
      </w:r>
    </w:p>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 сила от 6.12.2024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97BC3">
        <w:trPr>
          <w:tblCellSpacing w:w="15" w:type="dxa"/>
        </w:trPr>
        <w:tc>
          <w:tcPr>
            <w:tcW w:w="10500" w:type="dxa"/>
            <w:tcBorders>
              <w:top w:val="nil"/>
              <w:left w:val="nil"/>
              <w:bottom w:val="nil"/>
              <w:right w:val="nil"/>
            </w:tcBorders>
            <w:vAlign w:val="center"/>
          </w:tcPr>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bookmarkStart w:id="0" w:name="_GoBack"/>
            <w:bookmarkEnd w:id="0"/>
          </w:p>
        </w:tc>
      </w:tr>
    </w:tbl>
    <w:p w:rsidR="00697BC3" w:rsidRDefault="00697BC3">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697BC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CF2"/>
    <w:rsid w:val="00460F73"/>
    <w:rsid w:val="00697BC3"/>
    <w:rsid w:val="00957BEE"/>
    <w:rsid w:val="00AE0C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6300</Words>
  <Characters>37188</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Rumiana Rajkova</dc:creator>
  <cp:lastModifiedBy>Rumiana Rajkova</cp:lastModifiedBy>
  <cp:revision>3</cp:revision>
  <dcterms:created xsi:type="dcterms:W3CDTF">2025-03-18T14:43:00Z</dcterms:created>
  <dcterms:modified xsi:type="dcterms:W3CDTF">2025-03-18T14:59:00Z</dcterms:modified>
</cp:coreProperties>
</file>